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07" w:rsidRDefault="00D24707" w:rsidP="00D24707">
      <w:pPr>
        <w:shd w:val="clear" w:color="auto" w:fill="FFFFFF"/>
        <w:spacing w:after="0" w:line="288" w:lineRule="atLeast"/>
        <w:outlineLvl w:val="3"/>
        <w:rPr>
          <w:rFonts w:ascii="Helvetica" w:eastAsia="Times New Roman" w:hAnsi="Helvetica" w:cs="Helvetica"/>
          <w:b/>
          <w:bCs/>
          <w:color w:val="9B423D"/>
          <w:sz w:val="36"/>
          <w:szCs w:val="36"/>
        </w:rPr>
      </w:pPr>
      <w:r w:rsidRPr="00D24707">
        <w:rPr>
          <w:rFonts w:ascii="Helvetica" w:eastAsia="Times New Roman" w:hAnsi="Helvetica" w:cs="Helvetica"/>
          <w:b/>
          <w:bCs/>
          <w:color w:val="9B423D"/>
          <w:sz w:val="36"/>
          <w:szCs w:val="36"/>
        </w:rPr>
        <w:t>Nursing Educator Doctoral Grant</w:t>
      </w:r>
      <w:r w:rsidR="001349BF">
        <w:rPr>
          <w:rFonts w:ascii="Helvetica" w:eastAsia="Times New Roman" w:hAnsi="Helvetica" w:cs="Helvetica"/>
          <w:b/>
          <w:bCs/>
          <w:color w:val="9B423D"/>
          <w:sz w:val="36"/>
          <w:szCs w:val="36"/>
        </w:rPr>
        <w:t>s</w:t>
      </w:r>
      <w:r w:rsidRPr="00D24707">
        <w:rPr>
          <w:rFonts w:ascii="Helvetica" w:eastAsia="Times New Roman" w:hAnsi="Helvetica" w:cs="Helvetica"/>
          <w:b/>
          <w:bCs/>
          <w:color w:val="9B423D"/>
          <w:sz w:val="36"/>
          <w:szCs w:val="36"/>
        </w:rPr>
        <w:t xml:space="preserve"> (NEDG) for Practice and Dissertation Research</w:t>
      </w:r>
    </w:p>
    <w:p w:rsidR="00D24707" w:rsidRPr="00D24707" w:rsidRDefault="00D24707" w:rsidP="00D24707">
      <w:pPr>
        <w:shd w:val="clear" w:color="auto" w:fill="FFFFFF"/>
        <w:spacing w:after="0" w:line="288" w:lineRule="atLeast"/>
        <w:outlineLvl w:val="3"/>
        <w:rPr>
          <w:rFonts w:ascii="Helvetica" w:eastAsia="Times New Roman" w:hAnsi="Helvetica" w:cs="Helvetica"/>
          <w:b/>
          <w:color w:val="9B423D"/>
          <w:sz w:val="30"/>
          <w:szCs w:val="30"/>
        </w:rPr>
      </w:pPr>
      <w:r w:rsidRPr="00D24707">
        <w:rPr>
          <w:rFonts w:ascii="Helvetica" w:eastAsia="Times New Roman" w:hAnsi="Helvetica" w:cs="Helvetica"/>
          <w:b/>
          <w:color w:val="9B423D"/>
          <w:sz w:val="30"/>
          <w:szCs w:val="30"/>
        </w:rPr>
        <w:t>Fiscal Year 20</w:t>
      </w:r>
      <w:r w:rsidR="0095458E">
        <w:rPr>
          <w:rFonts w:ascii="Helvetica" w:eastAsia="Times New Roman" w:hAnsi="Helvetica" w:cs="Helvetica"/>
          <w:b/>
          <w:color w:val="9B423D"/>
          <w:sz w:val="30"/>
          <w:szCs w:val="30"/>
        </w:rPr>
        <w:t>2</w:t>
      </w:r>
      <w:r w:rsidR="00655FE0">
        <w:rPr>
          <w:rFonts w:ascii="Helvetica" w:eastAsia="Times New Roman" w:hAnsi="Helvetica" w:cs="Helvetica"/>
          <w:b/>
          <w:color w:val="9B423D"/>
          <w:sz w:val="30"/>
          <w:szCs w:val="30"/>
        </w:rPr>
        <w:t>2</w:t>
      </w:r>
      <w:r w:rsidRPr="00D24707">
        <w:rPr>
          <w:rFonts w:ascii="Helvetica" w:eastAsia="Times New Roman" w:hAnsi="Helvetica" w:cs="Helvetica"/>
          <w:b/>
          <w:color w:val="9B423D"/>
          <w:sz w:val="30"/>
          <w:szCs w:val="30"/>
        </w:rPr>
        <w:t xml:space="preserve"> Awards</w:t>
      </w:r>
    </w:p>
    <w:p w:rsidR="00D24707" w:rsidRPr="00D24707" w:rsidRDefault="00D24707" w:rsidP="00D24707">
      <w:pPr>
        <w:shd w:val="clear" w:color="auto" w:fill="FFFFFF"/>
        <w:spacing w:before="300" w:after="30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The Nurse Support Program II provides funding for Nurse Educator Doctoral Grant</w:t>
      </w:r>
      <w:r w:rsidR="001349BF">
        <w:rPr>
          <w:rFonts w:ascii="Helvetica" w:eastAsia="Times New Roman" w:hAnsi="Helvetica" w:cs="Helvetica"/>
          <w:color w:val="1A1A1A"/>
          <w:sz w:val="21"/>
          <w:szCs w:val="21"/>
        </w:rPr>
        <w:t>s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 xml:space="preserve"> for Practice and Dissertation Research (NEDG) to nurse faculty at Maryland’s nursing programs who are currently enrolled in or who have recently completed a doctoral degree. Maryland institutions with nursing degree programs may nominate an unlimited number of existing faculty pursuing doctoral degrees within the final two years of a program of study.</w:t>
      </w:r>
    </w:p>
    <w:p w:rsidR="00D24707" w:rsidRDefault="00D24707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24707">
        <w:rPr>
          <w:rFonts w:ascii="Helvetica" w:eastAsia="Times New Roman" w:hAnsi="Helvetica" w:cs="Helvetica"/>
          <w:b/>
          <w:bCs/>
          <w:color w:val="9B423D"/>
          <w:sz w:val="21"/>
          <w:szCs w:val="21"/>
        </w:rPr>
        <w:t>Awards: 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Awards will range from $5,000 to $</w:t>
      </w:r>
      <w:r w:rsidR="0095458E">
        <w:rPr>
          <w:rFonts w:ascii="Helvetica" w:eastAsia="Times New Roman" w:hAnsi="Helvetica" w:cs="Helvetica"/>
          <w:color w:val="1A1A1A"/>
          <w:sz w:val="21"/>
          <w:szCs w:val="21"/>
        </w:rPr>
        <w:t>6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0,000, contingent upon enrollment status, other funding sources and statewide nursing program faculty shortages. Funds for multi-year awards will be disbursed annually contingent upon satisfactory progress toward dissertation or capstone project, and degree completion.</w:t>
      </w:r>
    </w:p>
    <w:p w:rsidR="00D24707" w:rsidRPr="00D24707" w:rsidRDefault="00D24707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D24707" w:rsidRDefault="00D24707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24707">
        <w:rPr>
          <w:rFonts w:ascii="Helvetica" w:eastAsia="Times New Roman" w:hAnsi="Helvetica" w:cs="Helvetica"/>
          <w:b/>
          <w:bCs/>
          <w:color w:val="9B423D"/>
          <w:sz w:val="21"/>
          <w:szCs w:val="21"/>
        </w:rPr>
        <w:t>Eligibility: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 xml:space="preserve"> Nursing students currently enrolled in </w:t>
      </w:r>
      <w:proofErr w:type="spellStart"/>
      <w:proofErr w:type="gramStart"/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Ph.D</w:t>
      </w:r>
      <w:proofErr w:type="spellEnd"/>
      <w:proofErr w:type="gramEnd"/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 xml:space="preserve">, </w:t>
      </w:r>
      <w:proofErr w:type="spellStart"/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Ed.D</w:t>
      </w:r>
      <w:proofErr w:type="spellEnd"/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. or DNP programs who are engaged in or about to engage in the dissertation or capstone project in the 20</w:t>
      </w:r>
      <w:r w:rsidR="0095458E">
        <w:rPr>
          <w:rFonts w:ascii="Helvetica" w:eastAsia="Times New Roman" w:hAnsi="Helvetica" w:cs="Helvetica"/>
          <w:color w:val="1A1A1A"/>
          <w:sz w:val="21"/>
          <w:szCs w:val="21"/>
        </w:rPr>
        <w:t>2</w:t>
      </w:r>
      <w:r w:rsidR="001349BF">
        <w:rPr>
          <w:rFonts w:ascii="Helvetica" w:eastAsia="Times New Roman" w:hAnsi="Helvetica" w:cs="Helvetica"/>
          <w:color w:val="1A1A1A"/>
          <w:sz w:val="21"/>
          <w:szCs w:val="21"/>
        </w:rPr>
        <w:t>1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-202</w:t>
      </w:r>
      <w:r w:rsidR="001349BF">
        <w:rPr>
          <w:rFonts w:ascii="Helvetica" w:eastAsia="Times New Roman" w:hAnsi="Helvetica" w:cs="Helvetica"/>
          <w:color w:val="1A1A1A"/>
          <w:sz w:val="21"/>
          <w:szCs w:val="21"/>
        </w:rPr>
        <w:t>2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 xml:space="preserve"> academic year. Current faculty who are enrolled in part-time or full-time doctoral study are eligible, as are full-time or other part-time doctoral students, including recent doctoral graduates as of May 1, 20</w:t>
      </w:r>
      <w:r w:rsidR="001349BF">
        <w:rPr>
          <w:rFonts w:ascii="Helvetica" w:eastAsia="Times New Roman" w:hAnsi="Helvetica" w:cs="Helvetica"/>
          <w:color w:val="1A1A1A"/>
          <w:sz w:val="21"/>
          <w:szCs w:val="21"/>
        </w:rPr>
        <w:t>20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 xml:space="preserve"> and later, who are currently serving as a faculty member. Individuals with current teaching contracts at a school of nursing in Maryland, including those who live outside Maryland, and/or are completing an out-of-state doctoral program, are eligible for this award.</w:t>
      </w:r>
    </w:p>
    <w:p w:rsidR="00D24707" w:rsidRPr="00D24707" w:rsidRDefault="00D24707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D24707" w:rsidRPr="00D24707" w:rsidRDefault="00D24707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24707">
        <w:rPr>
          <w:rFonts w:ascii="Helvetica" w:eastAsia="Times New Roman" w:hAnsi="Helvetica" w:cs="Helvetica"/>
          <w:b/>
          <w:bCs/>
          <w:color w:val="9B423D"/>
          <w:sz w:val="21"/>
          <w:szCs w:val="21"/>
        </w:rPr>
        <w:t>Nomination Process: 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Nominations are to be made by the Dean or Director of Nursing, who will identify qualified candidates. This includes, but is not limited to:</w:t>
      </w:r>
    </w:p>
    <w:p w:rsidR="00D24707" w:rsidRDefault="00D24707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 xml:space="preserve">• The completed </w:t>
      </w:r>
      <w:r>
        <w:rPr>
          <w:rFonts w:ascii="Helvetica" w:eastAsia="Times New Roman" w:hAnsi="Helvetica" w:cs="Helvetica"/>
          <w:color w:val="1A1A1A"/>
          <w:sz w:val="21"/>
          <w:szCs w:val="21"/>
        </w:rPr>
        <w:t xml:space="preserve">NEDG 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nomination</w:t>
      </w:r>
      <w:r>
        <w:rPr>
          <w:rFonts w:ascii="Helvetica" w:eastAsia="Times New Roman" w:hAnsi="Helvetica" w:cs="Helvetica"/>
          <w:color w:val="1A1A1A"/>
          <w:sz w:val="21"/>
          <w:szCs w:val="21"/>
        </w:rPr>
        <w:t xml:space="preserve"> </w:t>
      </w:r>
      <w:r w:rsidRPr="00D24707">
        <w:rPr>
          <w:rFonts w:ascii="Helvetica" w:eastAsia="Times New Roman" w:hAnsi="Helvetica" w:cs="Helvetica"/>
          <w:sz w:val="21"/>
          <w:szCs w:val="21"/>
        </w:rPr>
        <w:t>form  and </w:t>
      </w:r>
      <w:hyperlink r:id="rId4" w:history="1">
        <w:r w:rsidRPr="00D24707">
          <w:rPr>
            <w:rFonts w:ascii="Helvetica" w:eastAsia="Times New Roman" w:hAnsi="Helvetica" w:cs="Helvetica"/>
            <w:sz w:val="21"/>
            <w:szCs w:val="21"/>
          </w:rPr>
          <w:t>budget template</w:t>
        </w:r>
      </w:hyperlink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 that includes a description of existing support and budgetary needs.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br/>
        <w:t>• Letter of support by the Dean or Director, and the Faculty advisor if different. 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br/>
        <w:t>• A three- to five-page paper outlining the nominee’s scholarly work and intent to teach 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br/>
        <w:t>• A proposed timeline for doctoral degree completion with plan of study 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br/>
        <w:t>• A certified transcript provided by the nominee 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br/>
        <w:t>• Nominee’s current curriculum vitae with active nursing license.</w:t>
      </w:r>
    </w:p>
    <w:p w:rsidR="00724ADF" w:rsidRDefault="00724ADF" w:rsidP="00724AD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 xml:space="preserve">The number of nominations is unlimited, but nominations should be submitted in priority order. Nominations for </w:t>
      </w:r>
      <w:r w:rsidRPr="00D24707">
        <w:rPr>
          <w:rFonts w:ascii="Helvetica" w:eastAsia="Times New Roman" w:hAnsi="Helvetica" w:cs="Helvetica"/>
          <w:color w:val="1A1A1A"/>
          <w:sz w:val="21"/>
          <w:szCs w:val="21"/>
        </w:rPr>
        <w:t>Nurse Educator Doctoral Grants for Practice and Dissertation Research (NEDG</w:t>
      </w:r>
      <w:r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 xml:space="preserve">) for </w:t>
      </w:r>
      <w:r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lastRenderedPageBreak/>
        <w:t>the academic year 20</w:t>
      </w:r>
      <w:r w:rsidR="0095458E"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2</w:t>
      </w:r>
      <w:r w:rsidR="001349BF"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-20</w:t>
      </w:r>
      <w:r w:rsidR="001349BF"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22</w:t>
      </w:r>
      <w:r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 xml:space="preserve"> will be accepted until September 30,</w:t>
      </w:r>
      <w:r w:rsidR="0095458E"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 xml:space="preserve"> 202</w:t>
      </w:r>
      <w:r w:rsidR="001349BF"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, with awards announced by December 15, 20</w:t>
      </w:r>
      <w:r w:rsidR="0095458E"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2</w:t>
      </w:r>
      <w:r w:rsidR="001349BF"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A1A1A"/>
          <w:sz w:val="21"/>
          <w:szCs w:val="21"/>
          <w:shd w:val="clear" w:color="auto" w:fill="FFFFFF"/>
        </w:rPr>
        <w:t> </w:t>
      </w:r>
    </w:p>
    <w:p w:rsidR="00D24707" w:rsidRPr="00D24707" w:rsidRDefault="00D24707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9B423D"/>
          <w:sz w:val="21"/>
          <w:szCs w:val="21"/>
        </w:rPr>
        <w:t>Allowable uses of funds</w:t>
      </w:r>
      <w:r w:rsidRPr="00D06BDF">
        <w:rPr>
          <w:rFonts w:ascii="Helvetica" w:eastAsia="Times New Roman" w:hAnsi="Helvetica" w:cs="Helvetica"/>
          <w:b/>
          <w:bCs/>
          <w:color w:val="C0504D" w:themeColor="accent2"/>
          <w:sz w:val="21"/>
          <w:szCs w:val="21"/>
        </w:rPr>
        <w:t>, in agreement with the institution’s policies:</w:t>
      </w: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t>•To assist with graduate education expenses, such as tuition and loan repayment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•To pay for any activities for professional development and continuing education to maintain credentials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•To pay for conference fees, travel, hotels, food, and expenses for speaking engagements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•To pay expenses related to dissertation research or capstones, including research assistants, statistical services, travel, and other fees to expedite completion of degrees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•To pay for licensure and certifications fees in their educator and clinical specialty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•To pay for computer/laptop, research instruments, statistical and other software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•To pay for subscriptions to professional journals and books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•To pay professional dues</w:t>
      </w: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t> To pay for faculty course release time</w:t>
      </w: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t>•To conduct research and publish work in peer-reviewed journals</w:t>
      </w: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t>•To supplement the fellow’s salary.</w:t>
      </w: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br/>
        <w:t>•Any expense that meets the reasonable person criteria for any expense to further a nurse faculty’s career</w:t>
      </w:r>
    </w:p>
    <w:p w:rsid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06BDF">
        <w:rPr>
          <w:rFonts w:ascii="Helvetica" w:eastAsia="Times New Roman" w:hAnsi="Helvetica" w:cs="Helvetica"/>
          <w:color w:val="1A1A1A"/>
          <w:sz w:val="21"/>
          <w:szCs w:val="21"/>
        </w:rPr>
        <w:t>Funds are available to awardees at the discretion of the higher education institution up to 5 years and as long as the faculty member remains full-time. In the case that the faculty member accepts a full-time faculty position at another Maryland nursing program, a request to transfer any remaining funds has to be approved by NSP II after both Deans/Directors of nursing programs submit their support on letterhead for the transfer of funds to the new employing institution.</w:t>
      </w:r>
    </w:p>
    <w:p w:rsid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D06BDF" w:rsidRPr="00D06BDF" w:rsidRDefault="001349B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hyperlink r:id="rId5" w:history="1">
        <w:r w:rsidR="00D06BDF" w:rsidRPr="00D06BDF">
          <w:rPr>
            <w:rStyle w:val="Hyperlink"/>
            <w:rFonts w:ascii="Helvetica" w:eastAsia="Times New Roman" w:hAnsi="Helvetica" w:cs="Helvetica"/>
            <w:b/>
            <w:bCs/>
            <w:sz w:val="21"/>
            <w:szCs w:val="21"/>
          </w:rPr>
          <w:t>NEDG Nominee Information Form</w:t>
        </w:r>
      </w:hyperlink>
    </w:p>
    <w:p w:rsidR="00D06BDF" w:rsidRPr="00D06BDF" w:rsidRDefault="001349B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hyperlink r:id="rId6" w:history="1">
        <w:r w:rsidR="00D06BDF" w:rsidRPr="00D06BDF">
          <w:rPr>
            <w:rStyle w:val="Hyperlink"/>
            <w:rFonts w:ascii="Helvetica" w:eastAsia="Times New Roman" w:hAnsi="Helvetica" w:cs="Helvetica"/>
            <w:b/>
            <w:bCs/>
            <w:sz w:val="21"/>
            <w:szCs w:val="21"/>
          </w:rPr>
          <w:t>Budget Template</w:t>
        </w:r>
      </w:hyperlink>
      <w:r w:rsidR="00D06BDF" w:rsidRPr="00D06BDF">
        <w:rPr>
          <w:rFonts w:ascii="Helvetica" w:eastAsia="Times New Roman" w:hAnsi="Helvetica" w:cs="Helvetica"/>
          <w:color w:val="1A1A1A"/>
          <w:sz w:val="21"/>
          <w:szCs w:val="21"/>
        </w:rPr>
        <w:t> (required)</w:t>
      </w: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C0504D" w:themeColor="accent2"/>
          <w:sz w:val="21"/>
          <w:szCs w:val="21"/>
        </w:rPr>
      </w:pPr>
      <w:r w:rsidRPr="00D06BDF">
        <w:rPr>
          <w:rFonts w:ascii="Helvetica" w:eastAsia="Times New Roman" w:hAnsi="Helvetica" w:cs="Helvetica"/>
          <w:b/>
          <w:bCs/>
          <w:color w:val="C0504D" w:themeColor="accent2"/>
          <w:sz w:val="21"/>
          <w:szCs w:val="21"/>
        </w:rPr>
        <w:t xml:space="preserve">Nominations must be </w:t>
      </w:r>
      <w:r w:rsidR="001349BF">
        <w:rPr>
          <w:rFonts w:ascii="Helvetica" w:eastAsia="Times New Roman" w:hAnsi="Helvetica" w:cs="Helvetica"/>
          <w:b/>
          <w:bCs/>
          <w:color w:val="C0504D" w:themeColor="accent2"/>
          <w:sz w:val="21"/>
          <w:szCs w:val="21"/>
        </w:rPr>
        <w:t>postmarked by September 30, 2021</w:t>
      </w:r>
      <w:bookmarkStart w:id="0" w:name="_GoBack"/>
      <w:bookmarkEnd w:id="0"/>
      <w:r w:rsidRPr="00D06BDF">
        <w:rPr>
          <w:rFonts w:ascii="Helvetica" w:eastAsia="Times New Roman" w:hAnsi="Helvetica" w:cs="Helvetica"/>
          <w:b/>
          <w:bCs/>
          <w:color w:val="C0504D" w:themeColor="accent2"/>
          <w:sz w:val="21"/>
          <w:szCs w:val="21"/>
        </w:rPr>
        <w:t xml:space="preserve"> to:</w:t>
      </w: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D06BDF">
        <w:rPr>
          <w:rFonts w:ascii="Helvetica" w:eastAsia="Times New Roman" w:hAnsi="Helvetica" w:cs="Helvetica"/>
          <w:b/>
          <w:bCs/>
          <w:sz w:val="21"/>
          <w:szCs w:val="21"/>
        </w:rPr>
        <w:t>Maryland Higher Education Commission</w:t>
      </w:r>
      <w:r w:rsidRPr="00D06BDF">
        <w:rPr>
          <w:rFonts w:ascii="Helvetica" w:eastAsia="Times New Roman" w:hAnsi="Helvetica" w:cs="Helvetica"/>
          <w:sz w:val="21"/>
          <w:szCs w:val="21"/>
        </w:rPr>
        <w:br/>
      </w:r>
      <w:r w:rsidRPr="00D06BDF">
        <w:rPr>
          <w:rFonts w:ascii="Helvetica" w:eastAsia="Times New Roman" w:hAnsi="Helvetica" w:cs="Helvetica"/>
          <w:b/>
          <w:bCs/>
          <w:sz w:val="21"/>
          <w:szCs w:val="21"/>
        </w:rPr>
        <w:t>Office of Outreach and Grants Management</w:t>
      </w:r>
      <w:r w:rsidRPr="00D06BDF">
        <w:rPr>
          <w:rFonts w:ascii="Helvetica" w:eastAsia="Times New Roman" w:hAnsi="Helvetica" w:cs="Helvetica"/>
          <w:sz w:val="21"/>
          <w:szCs w:val="21"/>
        </w:rPr>
        <w:br/>
      </w:r>
      <w:r w:rsidRPr="00D06BDF">
        <w:rPr>
          <w:rFonts w:ascii="Helvetica" w:eastAsia="Times New Roman" w:hAnsi="Helvetica" w:cs="Helvetica"/>
          <w:b/>
          <w:bCs/>
          <w:sz w:val="21"/>
          <w:szCs w:val="21"/>
        </w:rPr>
        <w:t>Attention: NSP II Nurse Educator Doctoral Grants</w:t>
      </w:r>
      <w:r w:rsidRPr="00D06BDF">
        <w:rPr>
          <w:rFonts w:ascii="Helvetica" w:eastAsia="Times New Roman" w:hAnsi="Helvetica" w:cs="Helvetica"/>
          <w:sz w:val="21"/>
          <w:szCs w:val="21"/>
        </w:rPr>
        <w:br/>
      </w:r>
      <w:r w:rsidRPr="00D06BDF">
        <w:rPr>
          <w:rFonts w:ascii="Helvetica" w:eastAsia="Times New Roman" w:hAnsi="Helvetica" w:cs="Helvetica"/>
          <w:b/>
          <w:bCs/>
          <w:sz w:val="21"/>
          <w:szCs w:val="21"/>
        </w:rPr>
        <w:t>6 N. Liberty Street, 10th Floor</w:t>
      </w:r>
      <w:r w:rsidRPr="00D06BDF">
        <w:rPr>
          <w:rFonts w:ascii="Helvetica" w:eastAsia="Times New Roman" w:hAnsi="Helvetica" w:cs="Helvetica"/>
          <w:sz w:val="21"/>
          <w:szCs w:val="21"/>
        </w:rPr>
        <w:br/>
      </w:r>
      <w:r w:rsidRPr="00D06BDF">
        <w:rPr>
          <w:rFonts w:ascii="Helvetica" w:eastAsia="Times New Roman" w:hAnsi="Helvetica" w:cs="Helvetica"/>
          <w:b/>
          <w:bCs/>
          <w:sz w:val="21"/>
          <w:szCs w:val="21"/>
        </w:rPr>
        <w:t>Baltimore, Maryland 21201</w:t>
      </w:r>
    </w:p>
    <w:p w:rsidR="00D06BDF" w:rsidRPr="00D06BDF" w:rsidRDefault="00D06BDF" w:rsidP="00D06BD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D06BDF" w:rsidRPr="00D24707" w:rsidRDefault="00D06BDF" w:rsidP="00D2470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9164A9" w:rsidRDefault="009164A9"/>
    <w:sectPr w:rsidR="0091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07"/>
    <w:rsid w:val="0009289C"/>
    <w:rsid w:val="001349BF"/>
    <w:rsid w:val="00655FE0"/>
    <w:rsid w:val="00724ADF"/>
    <w:rsid w:val="009164A9"/>
    <w:rsid w:val="0095458E"/>
    <w:rsid w:val="00D06BDF"/>
    <w:rsid w:val="00D24707"/>
    <w:rsid w:val="00F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E096"/>
  <w15:docId w15:val="{178F71C9-0858-4532-AA55-60F5509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ADF"/>
  </w:style>
  <w:style w:type="character" w:styleId="Hyperlink">
    <w:name w:val="Hyperlink"/>
    <w:basedOn w:val="DefaultParagraphFont"/>
    <w:uiPriority w:val="99"/>
    <w:unhideWhenUsed/>
    <w:rsid w:val="00D06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rsesupport.org/assets/files/1/files/nspii/nedg-budget-template-2018.docx" TargetMode="External"/><Relationship Id="rId5" Type="http://schemas.openxmlformats.org/officeDocument/2006/relationships/hyperlink" Target="https://nursesupport.org/assets/files/1/files/nspii/nedg-nomination-form.docx" TargetMode="External"/><Relationship Id="rId4" Type="http://schemas.openxmlformats.org/officeDocument/2006/relationships/hyperlink" Target="https://nursesupport.org/assets/files/1/files/nspii/nedg-budget-template-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Ford</dc:creator>
  <cp:lastModifiedBy>Ford, Kimberly</cp:lastModifiedBy>
  <cp:revision>3</cp:revision>
  <dcterms:created xsi:type="dcterms:W3CDTF">2021-04-09T22:47:00Z</dcterms:created>
  <dcterms:modified xsi:type="dcterms:W3CDTF">2021-04-09T22:49:00Z</dcterms:modified>
</cp:coreProperties>
</file>