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3E27" w:rsidRDefault="003D3E27">
      <w:pPr>
        <w:rPr>
          <w:rFonts w:ascii="Times New Roman" w:eastAsia="Times New Roman" w:hAnsi="Times New Roman" w:cs="Times New Roman"/>
          <w:sz w:val="22"/>
          <w:szCs w:val="22"/>
        </w:rPr>
      </w:pPr>
    </w:p>
    <w:p w:rsidR="003D3E27" w:rsidRDefault="003D3E27">
      <w:pPr>
        <w:rPr>
          <w:rFonts w:ascii="Times New Roman" w:eastAsia="Times New Roman" w:hAnsi="Times New Roman" w:cs="Times New Roman"/>
          <w:sz w:val="22"/>
          <w:szCs w:val="22"/>
        </w:rPr>
      </w:pPr>
    </w:p>
    <w:p w:rsidR="009613F9" w:rsidRDefault="008D64F3">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Contact: Rhonda </w:t>
      </w:r>
      <w:proofErr w:type="spellStart"/>
      <w:r>
        <w:rPr>
          <w:rFonts w:ascii="Times New Roman" w:eastAsia="Times New Roman" w:hAnsi="Times New Roman" w:cs="Times New Roman"/>
          <w:sz w:val="22"/>
          <w:szCs w:val="22"/>
        </w:rPr>
        <w:t>Wardlaw</w:t>
      </w:r>
      <w:proofErr w:type="spellEnd"/>
    </w:p>
    <w:p w:rsidR="009613F9" w:rsidRDefault="008D64F3">
      <w:pPr>
        <w:rPr>
          <w:rFonts w:ascii="Times New Roman" w:eastAsia="Times New Roman" w:hAnsi="Times New Roman" w:cs="Times New Roman"/>
          <w:sz w:val="22"/>
          <w:szCs w:val="22"/>
        </w:rPr>
      </w:pPr>
      <w:r>
        <w:rPr>
          <w:rFonts w:ascii="Times New Roman" w:eastAsia="Times New Roman" w:hAnsi="Times New Roman" w:cs="Times New Roman"/>
          <w:sz w:val="22"/>
          <w:szCs w:val="22"/>
        </w:rPr>
        <w:t>Director of Communications</w:t>
      </w:r>
    </w:p>
    <w:p w:rsidR="009613F9" w:rsidRDefault="008D64F3">
      <w:pPr>
        <w:rPr>
          <w:rFonts w:ascii="Times New Roman" w:eastAsia="Times New Roman" w:hAnsi="Times New Roman" w:cs="Times New Roman"/>
          <w:sz w:val="22"/>
          <w:szCs w:val="22"/>
        </w:rPr>
      </w:pPr>
      <w:r>
        <w:rPr>
          <w:rFonts w:ascii="Times New Roman" w:eastAsia="Times New Roman" w:hAnsi="Times New Roman" w:cs="Times New Roman"/>
          <w:sz w:val="22"/>
          <w:szCs w:val="22"/>
        </w:rPr>
        <w:t>rhonda.wardlaw@</w:t>
      </w:r>
      <w:bookmarkStart w:id="0" w:name="_GoBack"/>
      <w:bookmarkEnd w:id="0"/>
      <w:r>
        <w:rPr>
          <w:rFonts w:ascii="Times New Roman" w:eastAsia="Times New Roman" w:hAnsi="Times New Roman" w:cs="Times New Roman"/>
          <w:sz w:val="22"/>
          <w:szCs w:val="22"/>
        </w:rPr>
        <w:t>maryland.gov</w:t>
      </w:r>
    </w:p>
    <w:p w:rsidR="009613F9" w:rsidRDefault="008D64F3">
      <w:pPr>
        <w:rPr>
          <w:rFonts w:ascii="Times New Roman" w:eastAsia="Times New Roman" w:hAnsi="Times New Roman" w:cs="Times New Roman"/>
          <w:sz w:val="22"/>
          <w:szCs w:val="22"/>
        </w:rPr>
      </w:pPr>
      <w:r>
        <w:rPr>
          <w:rFonts w:ascii="Times New Roman" w:eastAsia="Times New Roman" w:hAnsi="Times New Roman" w:cs="Times New Roman"/>
          <w:sz w:val="22"/>
          <w:szCs w:val="22"/>
        </w:rPr>
        <w:t>410-767-7589</w:t>
      </w:r>
    </w:p>
    <w:p w:rsidR="009613F9" w:rsidRDefault="008D64F3">
      <w:pPr>
        <w:shd w:val="clear" w:color="auto" w:fill="FFFFFF"/>
        <w:spacing w:after="300"/>
        <w:jc w:val="center"/>
        <w:rPr>
          <w:color w:val="333333"/>
          <w:sz w:val="24"/>
          <w:szCs w:val="24"/>
        </w:rPr>
      </w:pPr>
      <w:r>
        <w:rPr>
          <w:color w:val="333333"/>
          <w:sz w:val="24"/>
          <w:szCs w:val="24"/>
        </w:rPr>
        <w:t>For Immediate Release</w:t>
      </w:r>
    </w:p>
    <w:p w:rsidR="0090710A" w:rsidRPr="0090710A" w:rsidRDefault="0090710A" w:rsidP="0090710A">
      <w:pPr>
        <w:shd w:val="clear" w:color="auto" w:fill="FFFFFF"/>
        <w:spacing w:line="235" w:lineRule="atLeast"/>
        <w:jc w:val="center"/>
        <w:rPr>
          <w:rFonts w:ascii="Times New Roman" w:eastAsia="Times New Roman" w:hAnsi="Times New Roman" w:cs="Times New Roman"/>
          <w:b/>
          <w:color w:val="000000"/>
          <w:sz w:val="28"/>
          <w:szCs w:val="28"/>
        </w:rPr>
      </w:pPr>
      <w:r w:rsidRPr="00DA10DA">
        <w:rPr>
          <w:rFonts w:ascii="Times New Roman" w:eastAsia="Times New Roman" w:hAnsi="Times New Roman" w:cs="Times New Roman"/>
          <w:b/>
          <w:sz w:val="28"/>
          <w:szCs w:val="28"/>
        </w:rPr>
        <w:t>Cer</w:t>
      </w:r>
      <w:r w:rsidRPr="0090710A">
        <w:rPr>
          <w:rFonts w:ascii="Times New Roman" w:eastAsia="Times New Roman" w:hAnsi="Times New Roman" w:cs="Times New Roman"/>
          <w:b/>
          <w:sz w:val="28"/>
          <w:szCs w:val="28"/>
        </w:rPr>
        <w:t>tified Nurse Educator Workshop</w:t>
      </w:r>
      <w:r w:rsidRPr="0090710A">
        <w:rPr>
          <w:rFonts w:ascii="Times New Roman" w:eastAsia="Times New Roman" w:hAnsi="Times New Roman" w:cs="Times New Roman"/>
          <w:b/>
          <w:color w:val="000000"/>
          <w:sz w:val="28"/>
          <w:szCs w:val="28"/>
        </w:rPr>
        <w:t xml:space="preserve"> Supports Nursing Faculty</w:t>
      </w:r>
    </w:p>
    <w:p w:rsidR="0090710A" w:rsidRDefault="0090710A" w:rsidP="0090710A">
      <w:pPr>
        <w:shd w:val="clear" w:color="auto" w:fill="FFFFFF"/>
        <w:spacing w:line="235" w:lineRule="atLeast"/>
        <w:rPr>
          <w:rFonts w:ascii="Times New Roman" w:eastAsia="Times New Roman" w:hAnsi="Times New Roman" w:cs="Times New Roman"/>
          <w:color w:val="000000"/>
          <w:sz w:val="24"/>
          <w:szCs w:val="24"/>
        </w:rPr>
      </w:pPr>
    </w:p>
    <w:p w:rsidR="00127B5E" w:rsidRPr="00127B5E" w:rsidRDefault="00127B5E" w:rsidP="00127B5E">
      <w:pPr>
        <w:shd w:val="clear" w:color="auto" w:fill="FFFFFF"/>
        <w:spacing w:line="235" w:lineRule="atLeast"/>
        <w:rPr>
          <w:rFonts w:ascii="Times New Roman" w:eastAsia="Times New Roman" w:hAnsi="Times New Roman" w:cs="Times New Roman"/>
          <w:sz w:val="24"/>
          <w:szCs w:val="24"/>
        </w:rPr>
      </w:pPr>
      <w:r w:rsidRPr="00127B5E">
        <w:rPr>
          <w:rFonts w:ascii="Times New Roman" w:eastAsia="Times New Roman" w:hAnsi="Times New Roman" w:cs="Times New Roman"/>
          <w:sz w:val="24"/>
          <w:szCs w:val="24"/>
        </w:rPr>
        <w:t>Baltimore, MD – (7-30-20) – The Maryland Higher Education Commission (MHEC) Secretary, Dr. James D. Fielder, called the recent Certified Nurse Educator (CNE) Workshop, hosted by the Nurse Support Program II (NSP II), a great success.</w:t>
      </w:r>
    </w:p>
    <w:p w:rsidR="00127B5E" w:rsidRPr="00127B5E" w:rsidRDefault="00127B5E" w:rsidP="00127B5E">
      <w:pPr>
        <w:shd w:val="clear" w:color="auto" w:fill="FFFFFF"/>
        <w:spacing w:line="235" w:lineRule="atLeast"/>
        <w:rPr>
          <w:rFonts w:ascii="Times New Roman" w:eastAsia="Times New Roman" w:hAnsi="Times New Roman" w:cs="Times New Roman"/>
          <w:sz w:val="24"/>
          <w:szCs w:val="24"/>
        </w:rPr>
      </w:pPr>
      <w:r w:rsidRPr="00127B5E">
        <w:rPr>
          <w:rFonts w:ascii="Times New Roman" w:eastAsia="Times New Roman" w:hAnsi="Times New Roman" w:cs="Times New Roman"/>
          <w:sz w:val="24"/>
          <w:szCs w:val="24"/>
        </w:rPr>
        <w:t> </w:t>
      </w:r>
    </w:p>
    <w:p w:rsidR="00127B5E" w:rsidRPr="00127B5E" w:rsidRDefault="00127B5E" w:rsidP="00127B5E">
      <w:pPr>
        <w:shd w:val="clear" w:color="auto" w:fill="FFFFFF"/>
        <w:spacing w:line="235" w:lineRule="atLeast"/>
        <w:rPr>
          <w:rFonts w:ascii="Times New Roman" w:eastAsia="Times New Roman" w:hAnsi="Times New Roman" w:cs="Times New Roman"/>
          <w:sz w:val="24"/>
          <w:szCs w:val="24"/>
        </w:rPr>
      </w:pPr>
      <w:r w:rsidRPr="00127B5E">
        <w:rPr>
          <w:rFonts w:ascii="Times New Roman" w:eastAsia="Times New Roman" w:hAnsi="Times New Roman" w:cs="Times New Roman"/>
          <w:sz w:val="24"/>
          <w:szCs w:val="24"/>
        </w:rPr>
        <w:t>On July 17, 2020, MHEC’s Nurse Support Program II and the National League for Nursing (NLN) sponsored its seventh NLN Certified Nurse Educator Workshop in Maryland. </w:t>
      </w:r>
    </w:p>
    <w:p w:rsidR="00127B5E" w:rsidRPr="00127B5E" w:rsidRDefault="00127B5E" w:rsidP="00127B5E">
      <w:pPr>
        <w:shd w:val="clear" w:color="auto" w:fill="FFFFFF"/>
        <w:spacing w:line="235" w:lineRule="atLeast"/>
        <w:rPr>
          <w:rFonts w:ascii="Times New Roman" w:eastAsia="Times New Roman" w:hAnsi="Times New Roman" w:cs="Times New Roman"/>
          <w:sz w:val="24"/>
          <w:szCs w:val="24"/>
        </w:rPr>
      </w:pPr>
      <w:r w:rsidRPr="00127B5E">
        <w:rPr>
          <w:rFonts w:ascii="Times New Roman" w:eastAsia="Times New Roman" w:hAnsi="Times New Roman" w:cs="Times New Roman"/>
          <w:sz w:val="24"/>
          <w:szCs w:val="24"/>
        </w:rPr>
        <w:t> </w:t>
      </w:r>
    </w:p>
    <w:p w:rsidR="00127B5E" w:rsidRPr="00127B5E" w:rsidRDefault="00127B5E" w:rsidP="00127B5E">
      <w:pPr>
        <w:shd w:val="clear" w:color="auto" w:fill="FFFFFF"/>
        <w:spacing w:line="235" w:lineRule="atLeast"/>
        <w:rPr>
          <w:rFonts w:ascii="Times New Roman" w:eastAsia="Times New Roman" w:hAnsi="Times New Roman" w:cs="Times New Roman"/>
          <w:sz w:val="24"/>
          <w:szCs w:val="24"/>
        </w:rPr>
      </w:pPr>
      <w:r w:rsidRPr="00127B5E">
        <w:rPr>
          <w:rFonts w:ascii="Times New Roman" w:eastAsia="Times New Roman" w:hAnsi="Times New Roman" w:cs="Times New Roman"/>
          <w:sz w:val="24"/>
          <w:szCs w:val="24"/>
        </w:rPr>
        <w:t>“I applaud the NLN and MHEC’s NSP II staff member Kimberly Ford for coordinating this first virtual CNE workshop so that critical information on the specialty practice of nursing education can continue,” Secretary Fielder said.  “Being flexible and continuing to support our nursing community with workshops that prepare them to complete their certification as a nurse educator is key to the success of future nursing faculty.”</w:t>
      </w:r>
    </w:p>
    <w:p w:rsidR="00127B5E" w:rsidRPr="00127B5E" w:rsidRDefault="00127B5E" w:rsidP="00127B5E">
      <w:pPr>
        <w:shd w:val="clear" w:color="auto" w:fill="FFFFFF"/>
        <w:spacing w:line="235" w:lineRule="atLeast"/>
        <w:rPr>
          <w:rFonts w:ascii="Times New Roman" w:eastAsia="Times New Roman" w:hAnsi="Times New Roman" w:cs="Times New Roman"/>
          <w:sz w:val="24"/>
          <w:szCs w:val="24"/>
        </w:rPr>
      </w:pPr>
      <w:r w:rsidRPr="00127B5E">
        <w:rPr>
          <w:rFonts w:ascii="Times New Roman" w:eastAsia="Times New Roman" w:hAnsi="Times New Roman" w:cs="Times New Roman"/>
          <w:sz w:val="24"/>
          <w:szCs w:val="24"/>
        </w:rPr>
        <w:t> </w:t>
      </w:r>
    </w:p>
    <w:p w:rsidR="00127B5E" w:rsidRPr="00127B5E" w:rsidRDefault="00127B5E" w:rsidP="00127B5E">
      <w:pPr>
        <w:shd w:val="clear" w:color="auto" w:fill="FFFFFF"/>
        <w:spacing w:line="235" w:lineRule="atLeast"/>
        <w:rPr>
          <w:rFonts w:ascii="Times New Roman" w:eastAsia="Times New Roman" w:hAnsi="Times New Roman" w:cs="Times New Roman"/>
          <w:sz w:val="24"/>
          <w:szCs w:val="24"/>
        </w:rPr>
      </w:pPr>
      <w:r w:rsidRPr="00127B5E">
        <w:rPr>
          <w:rFonts w:ascii="Times New Roman" w:eastAsia="Times New Roman" w:hAnsi="Times New Roman" w:cs="Times New Roman"/>
          <w:sz w:val="24"/>
          <w:szCs w:val="24"/>
        </w:rPr>
        <w:t>The workshop is a preparation and review opportunity for faculty to complete the CNE examination and achieve the CNE credential, a mark of distinction and excellence in the specialty practice of nursing education. </w:t>
      </w:r>
    </w:p>
    <w:p w:rsidR="00127B5E" w:rsidRPr="00127B5E" w:rsidRDefault="00127B5E" w:rsidP="00127B5E">
      <w:pPr>
        <w:shd w:val="clear" w:color="auto" w:fill="FFFFFF"/>
        <w:spacing w:line="235" w:lineRule="atLeast"/>
        <w:rPr>
          <w:rFonts w:ascii="Times New Roman" w:eastAsia="Times New Roman" w:hAnsi="Times New Roman" w:cs="Times New Roman"/>
          <w:sz w:val="24"/>
          <w:szCs w:val="24"/>
        </w:rPr>
      </w:pPr>
      <w:r w:rsidRPr="00127B5E">
        <w:rPr>
          <w:rFonts w:ascii="Times New Roman" w:eastAsia="Times New Roman" w:hAnsi="Times New Roman" w:cs="Times New Roman"/>
          <w:sz w:val="24"/>
          <w:szCs w:val="24"/>
        </w:rPr>
        <w:t> </w:t>
      </w:r>
    </w:p>
    <w:p w:rsidR="00127B5E" w:rsidRPr="00127B5E" w:rsidRDefault="00127B5E" w:rsidP="00127B5E">
      <w:pPr>
        <w:shd w:val="clear" w:color="auto" w:fill="FFFFFF"/>
        <w:spacing w:line="235" w:lineRule="atLeast"/>
        <w:rPr>
          <w:rFonts w:ascii="Times New Roman" w:eastAsia="Times New Roman" w:hAnsi="Times New Roman" w:cs="Times New Roman"/>
          <w:sz w:val="24"/>
          <w:szCs w:val="24"/>
        </w:rPr>
      </w:pPr>
      <w:r w:rsidRPr="00127B5E">
        <w:rPr>
          <w:rFonts w:ascii="Times New Roman" w:eastAsia="Times New Roman" w:hAnsi="Times New Roman" w:cs="Times New Roman"/>
          <w:sz w:val="24"/>
          <w:szCs w:val="24"/>
        </w:rPr>
        <w:t xml:space="preserve">Nationally recognized speaker, Dr. Diane Billings, was the workshop presenter and has consistently conducted the CNE workshops for Maryland faculty.  The workshop was free to faculty and funded through the NSP II Faculty Academy and Mentorship Initiative (FAMI) grant with Dr. Lisa </w:t>
      </w:r>
      <w:proofErr w:type="spellStart"/>
      <w:r w:rsidRPr="00127B5E">
        <w:rPr>
          <w:rFonts w:ascii="Times New Roman" w:eastAsia="Times New Roman" w:hAnsi="Times New Roman" w:cs="Times New Roman"/>
          <w:sz w:val="24"/>
          <w:szCs w:val="24"/>
        </w:rPr>
        <w:t>Seldomridge</w:t>
      </w:r>
      <w:proofErr w:type="spellEnd"/>
      <w:r w:rsidRPr="00127B5E">
        <w:rPr>
          <w:rFonts w:ascii="Times New Roman" w:eastAsia="Times New Roman" w:hAnsi="Times New Roman" w:cs="Times New Roman"/>
          <w:sz w:val="24"/>
          <w:szCs w:val="24"/>
        </w:rPr>
        <w:t xml:space="preserve"> at Salisbury University.  </w:t>
      </w:r>
    </w:p>
    <w:p w:rsidR="00127B5E" w:rsidRPr="00127B5E" w:rsidRDefault="00127B5E" w:rsidP="00127B5E">
      <w:pPr>
        <w:shd w:val="clear" w:color="auto" w:fill="FFFFFF"/>
        <w:spacing w:line="235" w:lineRule="atLeast"/>
        <w:rPr>
          <w:rFonts w:ascii="Times New Roman" w:eastAsia="Times New Roman" w:hAnsi="Times New Roman" w:cs="Times New Roman"/>
          <w:sz w:val="24"/>
          <w:szCs w:val="24"/>
        </w:rPr>
      </w:pPr>
    </w:p>
    <w:p w:rsidR="00127B5E" w:rsidRPr="00127B5E" w:rsidRDefault="00127B5E" w:rsidP="00127B5E">
      <w:pPr>
        <w:shd w:val="clear" w:color="auto" w:fill="FFFFFF"/>
        <w:spacing w:line="235" w:lineRule="atLeast"/>
        <w:rPr>
          <w:rFonts w:ascii="Times New Roman" w:eastAsia="Times New Roman" w:hAnsi="Times New Roman" w:cs="Times New Roman"/>
          <w:sz w:val="24"/>
          <w:szCs w:val="24"/>
        </w:rPr>
      </w:pPr>
      <w:r w:rsidRPr="00127B5E">
        <w:rPr>
          <w:rFonts w:ascii="Times New Roman" w:eastAsia="Times New Roman" w:hAnsi="Times New Roman" w:cs="Times New Roman"/>
          <w:sz w:val="24"/>
          <w:szCs w:val="24"/>
        </w:rPr>
        <w:t>The 39 faculty that participated were nominated by Deans and Directors of nursing programs at 12 institutions across Maryland, including Coppin State University, Frostburg State University, Johns Hopkins University, Notre Dame of Maryland University, Salisbury University, Stevenson University, Carroll Community College, College of Southern Maryland, Community College of Baltimore County, Harford Community College, Howard Community College, and Prince George's Community College.  Each geographic region of the state was represented by participants.</w:t>
      </w:r>
    </w:p>
    <w:p w:rsidR="00127B5E" w:rsidRPr="00127B5E" w:rsidRDefault="00127B5E" w:rsidP="00127B5E">
      <w:pPr>
        <w:shd w:val="clear" w:color="auto" w:fill="FFFFFF"/>
        <w:spacing w:line="235" w:lineRule="atLeast"/>
        <w:rPr>
          <w:rFonts w:ascii="Times New Roman" w:eastAsia="Times New Roman" w:hAnsi="Times New Roman" w:cs="Times New Roman"/>
          <w:sz w:val="24"/>
          <w:szCs w:val="24"/>
        </w:rPr>
      </w:pPr>
      <w:r w:rsidRPr="00127B5E">
        <w:rPr>
          <w:rFonts w:ascii="Times New Roman" w:eastAsia="Times New Roman" w:hAnsi="Times New Roman" w:cs="Times New Roman"/>
          <w:sz w:val="24"/>
          <w:szCs w:val="24"/>
        </w:rPr>
        <w:t> </w:t>
      </w:r>
    </w:p>
    <w:p w:rsidR="00127B5E" w:rsidRPr="00127B5E" w:rsidRDefault="00127B5E" w:rsidP="00127B5E">
      <w:pPr>
        <w:shd w:val="clear" w:color="auto" w:fill="FFFFFF"/>
        <w:spacing w:line="235" w:lineRule="atLeast"/>
        <w:rPr>
          <w:rFonts w:ascii="Times New Roman" w:eastAsia="Times New Roman" w:hAnsi="Times New Roman" w:cs="Times New Roman"/>
          <w:sz w:val="24"/>
          <w:szCs w:val="24"/>
        </w:rPr>
      </w:pPr>
      <w:r w:rsidRPr="00127B5E">
        <w:rPr>
          <w:rFonts w:ascii="Times New Roman" w:eastAsia="Times New Roman" w:hAnsi="Times New Roman" w:cs="Times New Roman"/>
          <w:sz w:val="24"/>
          <w:szCs w:val="24"/>
        </w:rPr>
        <w:t xml:space="preserve">“Completing the certification as a nurse educator will ensure the faculty are eligible to receive $5,000 through the Academic Nurse Educator Certificate Award (ANEC), supporting all aspects </w:t>
      </w:r>
      <w:r w:rsidRPr="00127B5E">
        <w:rPr>
          <w:rFonts w:ascii="Times New Roman" w:eastAsia="Times New Roman" w:hAnsi="Times New Roman" w:cs="Times New Roman"/>
          <w:sz w:val="24"/>
          <w:szCs w:val="24"/>
        </w:rPr>
        <w:lastRenderedPageBreak/>
        <w:t xml:space="preserve">of the credential,” NSP II Director, Dr. Peggy </w:t>
      </w:r>
      <w:proofErr w:type="spellStart"/>
      <w:r w:rsidRPr="00127B5E">
        <w:rPr>
          <w:rFonts w:ascii="Times New Roman" w:eastAsia="Times New Roman" w:hAnsi="Times New Roman" w:cs="Times New Roman"/>
          <w:sz w:val="24"/>
          <w:szCs w:val="24"/>
        </w:rPr>
        <w:t>Daw</w:t>
      </w:r>
      <w:proofErr w:type="spellEnd"/>
      <w:r w:rsidRPr="00127B5E">
        <w:rPr>
          <w:rFonts w:ascii="Times New Roman" w:eastAsia="Times New Roman" w:hAnsi="Times New Roman" w:cs="Times New Roman"/>
          <w:sz w:val="24"/>
          <w:szCs w:val="24"/>
        </w:rPr>
        <w:t xml:space="preserve"> said.  “We are proud to be part of a program that not only encourages excellence in nursing education, but also provides the financial means to keep up with the ever-changing demands on our healthcare professionals.”</w:t>
      </w:r>
    </w:p>
    <w:p w:rsidR="00127B5E" w:rsidRPr="00127B5E" w:rsidRDefault="00127B5E" w:rsidP="00127B5E">
      <w:pPr>
        <w:shd w:val="clear" w:color="auto" w:fill="FFFFFF"/>
        <w:spacing w:line="235" w:lineRule="atLeast"/>
        <w:rPr>
          <w:rFonts w:ascii="Times New Roman" w:eastAsia="Times New Roman" w:hAnsi="Times New Roman" w:cs="Times New Roman"/>
          <w:sz w:val="24"/>
          <w:szCs w:val="24"/>
        </w:rPr>
      </w:pPr>
      <w:r w:rsidRPr="00127B5E">
        <w:rPr>
          <w:rFonts w:ascii="Times New Roman" w:eastAsia="Times New Roman" w:hAnsi="Times New Roman" w:cs="Times New Roman"/>
          <w:sz w:val="24"/>
          <w:szCs w:val="24"/>
        </w:rPr>
        <w:t> </w:t>
      </w:r>
    </w:p>
    <w:p w:rsidR="00127B5E" w:rsidRPr="00127B5E" w:rsidRDefault="00127B5E" w:rsidP="00127B5E">
      <w:pPr>
        <w:shd w:val="clear" w:color="auto" w:fill="FFFFFF"/>
        <w:spacing w:line="235" w:lineRule="atLeast"/>
        <w:rPr>
          <w:rFonts w:ascii="Times New Roman" w:eastAsia="Times New Roman" w:hAnsi="Times New Roman" w:cs="Times New Roman"/>
          <w:sz w:val="24"/>
          <w:szCs w:val="24"/>
        </w:rPr>
      </w:pPr>
      <w:r w:rsidRPr="00127B5E">
        <w:rPr>
          <w:rFonts w:ascii="Times New Roman" w:eastAsia="Times New Roman" w:hAnsi="Times New Roman" w:cs="Times New Roman"/>
          <w:sz w:val="24"/>
          <w:szCs w:val="24"/>
        </w:rPr>
        <w:t>The ANEC is awarded by the Maryland Higher Education Commission’s NSP II program each year.  All nominations for ANEC awards are due by March 15, 2021.  The next CNE Workshop is scheduled for October 2, 2020.  More information on the CNE workshops and ANEC award is available at </w:t>
      </w:r>
      <w:hyperlink r:id="rId7" w:tgtFrame="_blank" w:history="1">
        <w:r w:rsidRPr="00127B5E">
          <w:rPr>
            <w:rStyle w:val="Hyperlink"/>
            <w:rFonts w:ascii="Times New Roman" w:eastAsia="Times New Roman" w:hAnsi="Times New Roman" w:cs="Times New Roman"/>
            <w:sz w:val="24"/>
            <w:szCs w:val="24"/>
          </w:rPr>
          <w:t>www.nursesupport.org</w:t>
        </w:r>
      </w:hyperlink>
      <w:r w:rsidRPr="00127B5E">
        <w:rPr>
          <w:rFonts w:ascii="Times New Roman" w:eastAsia="Times New Roman" w:hAnsi="Times New Roman" w:cs="Times New Roman"/>
          <w:sz w:val="24"/>
          <w:szCs w:val="24"/>
        </w:rPr>
        <w:t>.</w:t>
      </w:r>
    </w:p>
    <w:p w:rsidR="00127B5E" w:rsidRPr="00DA10DA" w:rsidRDefault="00127B5E" w:rsidP="0090710A">
      <w:pPr>
        <w:shd w:val="clear" w:color="auto" w:fill="FFFFFF"/>
        <w:spacing w:line="235" w:lineRule="atLeast"/>
        <w:rPr>
          <w:rFonts w:ascii="Times New Roman" w:eastAsia="Times New Roman" w:hAnsi="Times New Roman" w:cs="Times New Roman"/>
          <w:sz w:val="24"/>
          <w:szCs w:val="24"/>
        </w:rPr>
      </w:pPr>
    </w:p>
    <w:p w:rsidR="009613F9" w:rsidRDefault="009613F9" w:rsidP="0090710A">
      <w:pPr>
        <w:widowControl/>
        <w:pBdr>
          <w:top w:val="nil"/>
          <w:left w:val="nil"/>
          <w:bottom w:val="nil"/>
          <w:right w:val="nil"/>
          <w:between w:val="nil"/>
        </w:pBdr>
        <w:rPr>
          <w:rFonts w:ascii="Times New Roman" w:eastAsia="Times New Roman" w:hAnsi="Times New Roman" w:cs="Times New Roman"/>
          <w:sz w:val="24"/>
          <w:szCs w:val="24"/>
        </w:rPr>
      </w:pPr>
    </w:p>
    <w:p w:rsidR="009613F9" w:rsidRDefault="009613F9">
      <w:pPr>
        <w:jc w:val="both"/>
        <w:rPr>
          <w:rFonts w:ascii="Calibri" w:eastAsia="Calibri" w:hAnsi="Calibri" w:cs="Calibri"/>
          <w:sz w:val="22"/>
          <w:szCs w:val="22"/>
        </w:rPr>
      </w:pPr>
    </w:p>
    <w:sectPr w:rsidR="009613F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6618" w:rsidRDefault="00966618">
      <w:r>
        <w:separator/>
      </w:r>
    </w:p>
  </w:endnote>
  <w:endnote w:type="continuationSeparator" w:id="0">
    <w:p w:rsidR="00966618" w:rsidRDefault="009666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Helvetica Neue">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13F9" w:rsidRDefault="009613F9">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13F9" w:rsidRDefault="008D64F3">
    <w:pPr>
      <w:pBdr>
        <w:top w:val="nil"/>
        <w:left w:val="nil"/>
        <w:bottom w:val="nil"/>
        <w:right w:val="nil"/>
        <w:between w:val="nil"/>
      </w:pBdr>
      <w:tabs>
        <w:tab w:val="center" w:pos="4320"/>
        <w:tab w:val="right" w:pos="8640"/>
      </w:tabs>
      <w:jc w:val="center"/>
      <w:rPr>
        <w:rFonts w:ascii="Helvetica Neue" w:eastAsia="Helvetica Neue" w:hAnsi="Helvetica Neue" w:cs="Helvetica Neue"/>
        <w:b/>
        <w:smallCaps/>
        <w:color w:val="000000"/>
        <w:sz w:val="14"/>
        <w:szCs w:val="14"/>
      </w:rPr>
    </w:pPr>
    <w:r>
      <w:rPr>
        <w:rFonts w:ascii="Helvetica Neue" w:eastAsia="Helvetica Neue" w:hAnsi="Helvetica Neue" w:cs="Helvetica Neue"/>
        <w:b/>
        <w:smallCaps/>
        <w:color w:val="000000"/>
        <w:sz w:val="14"/>
        <w:szCs w:val="14"/>
      </w:rPr>
      <w:t>Maryland Higher Education Commission</w:t>
    </w:r>
  </w:p>
  <w:p w:rsidR="009613F9" w:rsidRDefault="008D64F3">
    <w:pPr>
      <w:pBdr>
        <w:top w:val="nil"/>
        <w:left w:val="nil"/>
        <w:bottom w:val="nil"/>
        <w:right w:val="nil"/>
        <w:between w:val="nil"/>
      </w:pBdr>
      <w:tabs>
        <w:tab w:val="center" w:pos="4320"/>
        <w:tab w:val="right" w:pos="8640"/>
      </w:tabs>
      <w:jc w:val="center"/>
      <w:rPr>
        <w:rFonts w:ascii="Helvetica Neue" w:eastAsia="Helvetica Neue" w:hAnsi="Helvetica Neue" w:cs="Helvetica Neue"/>
        <w:color w:val="000000"/>
        <w:sz w:val="14"/>
        <w:szCs w:val="14"/>
      </w:rPr>
    </w:pPr>
    <w:r>
      <w:rPr>
        <w:rFonts w:ascii="Helvetica Neue" w:eastAsia="Helvetica Neue" w:hAnsi="Helvetica Neue" w:cs="Helvetica Neue"/>
        <w:color w:val="000000"/>
        <w:sz w:val="14"/>
        <w:szCs w:val="14"/>
      </w:rPr>
      <w:t xml:space="preserve">6 N. Liberty Street </w:t>
    </w:r>
    <w:r>
      <w:rPr>
        <w:rFonts w:ascii="Symbol" w:eastAsia="Symbol" w:hAnsi="Symbol" w:cs="Symbol"/>
        <w:color w:val="000000"/>
        <w:sz w:val="14"/>
        <w:szCs w:val="14"/>
      </w:rPr>
      <w:t>∙</w:t>
    </w:r>
    <w:r>
      <w:rPr>
        <w:rFonts w:ascii="Helvetica Neue" w:eastAsia="Helvetica Neue" w:hAnsi="Helvetica Neue" w:cs="Helvetica Neue"/>
        <w:color w:val="000000"/>
        <w:sz w:val="14"/>
        <w:szCs w:val="14"/>
      </w:rPr>
      <w:t xml:space="preserve"> 10</w:t>
    </w:r>
    <w:r>
      <w:rPr>
        <w:rFonts w:ascii="Helvetica Neue" w:eastAsia="Helvetica Neue" w:hAnsi="Helvetica Neue" w:cs="Helvetica Neue"/>
        <w:color w:val="000000"/>
        <w:sz w:val="14"/>
        <w:szCs w:val="14"/>
        <w:vertAlign w:val="superscript"/>
      </w:rPr>
      <w:t>th</w:t>
    </w:r>
    <w:r>
      <w:rPr>
        <w:rFonts w:ascii="Helvetica Neue" w:eastAsia="Helvetica Neue" w:hAnsi="Helvetica Neue" w:cs="Helvetica Neue"/>
        <w:color w:val="000000"/>
        <w:sz w:val="14"/>
        <w:szCs w:val="14"/>
      </w:rPr>
      <w:t xml:space="preserve"> Floor </w:t>
    </w:r>
    <w:r>
      <w:rPr>
        <w:rFonts w:ascii="Symbol" w:eastAsia="Symbol" w:hAnsi="Symbol" w:cs="Symbol"/>
        <w:color w:val="000000"/>
        <w:sz w:val="14"/>
        <w:szCs w:val="14"/>
      </w:rPr>
      <w:t>∙</w:t>
    </w:r>
    <w:r>
      <w:rPr>
        <w:rFonts w:ascii="Helvetica Neue" w:eastAsia="Helvetica Neue" w:hAnsi="Helvetica Neue" w:cs="Helvetica Neue"/>
        <w:color w:val="000000"/>
        <w:sz w:val="14"/>
        <w:szCs w:val="14"/>
      </w:rPr>
      <w:t xml:space="preserve"> Baltimore, MD 21201</w:t>
    </w:r>
  </w:p>
  <w:p w:rsidR="009613F9" w:rsidRDefault="008D64F3">
    <w:pPr>
      <w:pBdr>
        <w:top w:val="nil"/>
        <w:left w:val="nil"/>
        <w:bottom w:val="nil"/>
        <w:right w:val="nil"/>
        <w:between w:val="nil"/>
      </w:pBdr>
      <w:tabs>
        <w:tab w:val="center" w:pos="4320"/>
        <w:tab w:val="right" w:pos="8640"/>
      </w:tabs>
      <w:jc w:val="center"/>
      <w:rPr>
        <w:color w:val="000000"/>
      </w:rPr>
    </w:pPr>
    <w:r>
      <w:rPr>
        <w:rFonts w:ascii="Helvetica Neue" w:eastAsia="Helvetica Neue" w:hAnsi="Helvetica Neue" w:cs="Helvetica Neue"/>
        <w:color w:val="000000"/>
        <w:sz w:val="14"/>
        <w:szCs w:val="14"/>
      </w:rPr>
      <w:t xml:space="preserve">T 410.767.3300 </w:t>
    </w:r>
    <w:r>
      <w:rPr>
        <w:rFonts w:ascii="Symbol" w:eastAsia="Symbol" w:hAnsi="Symbol" w:cs="Symbol"/>
        <w:color w:val="000000"/>
        <w:sz w:val="14"/>
        <w:szCs w:val="14"/>
      </w:rPr>
      <w:t>∙</w:t>
    </w:r>
    <w:r>
      <w:rPr>
        <w:rFonts w:ascii="Helvetica Neue" w:eastAsia="Helvetica Neue" w:hAnsi="Helvetica Neue" w:cs="Helvetica Neue"/>
        <w:color w:val="000000"/>
        <w:sz w:val="14"/>
        <w:szCs w:val="14"/>
      </w:rPr>
      <w:t xml:space="preserve"> 800.974.0203 </w:t>
    </w:r>
    <w:r>
      <w:rPr>
        <w:rFonts w:ascii="Symbol" w:eastAsia="Symbol" w:hAnsi="Symbol" w:cs="Symbol"/>
        <w:color w:val="000000"/>
        <w:sz w:val="14"/>
        <w:szCs w:val="14"/>
      </w:rPr>
      <w:t>∙</w:t>
    </w:r>
    <w:r>
      <w:rPr>
        <w:rFonts w:ascii="Helvetica Neue" w:eastAsia="Helvetica Neue" w:hAnsi="Helvetica Neue" w:cs="Helvetica Neue"/>
        <w:color w:val="000000"/>
        <w:sz w:val="14"/>
        <w:szCs w:val="14"/>
      </w:rPr>
      <w:t xml:space="preserve"> F 410.332.0270 </w:t>
    </w:r>
    <w:r>
      <w:rPr>
        <w:rFonts w:ascii="Symbol" w:eastAsia="Symbol" w:hAnsi="Symbol" w:cs="Symbol"/>
        <w:color w:val="000000"/>
        <w:sz w:val="14"/>
        <w:szCs w:val="14"/>
      </w:rPr>
      <w:t>∙</w:t>
    </w:r>
    <w:r>
      <w:rPr>
        <w:rFonts w:ascii="Helvetica Neue" w:eastAsia="Helvetica Neue" w:hAnsi="Helvetica Neue" w:cs="Helvetica Neue"/>
        <w:color w:val="000000"/>
        <w:sz w:val="14"/>
        <w:szCs w:val="14"/>
      </w:rPr>
      <w:t xml:space="preserve"> TTY for the Deaf 800.735.2258 </w:t>
    </w:r>
    <w:hyperlink r:id="rId1">
      <w:r>
        <w:rPr>
          <w:rFonts w:ascii="Helvetica Neue" w:eastAsia="Helvetica Neue" w:hAnsi="Helvetica Neue" w:cs="Helvetica Neue"/>
          <w:color w:val="0000FF"/>
          <w:sz w:val="14"/>
          <w:szCs w:val="14"/>
          <w:u w:val="single"/>
        </w:rPr>
        <w:t>www.mhec.maryland.gov</w:t>
      </w:r>
    </w:hyperlink>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13F9" w:rsidRDefault="008D64F3">
    <w:pPr>
      <w:pBdr>
        <w:top w:val="nil"/>
        <w:left w:val="nil"/>
        <w:bottom w:val="nil"/>
        <w:right w:val="nil"/>
        <w:between w:val="nil"/>
      </w:pBdr>
      <w:tabs>
        <w:tab w:val="center" w:pos="4320"/>
        <w:tab w:val="right" w:pos="8640"/>
      </w:tabs>
      <w:jc w:val="center"/>
      <w:rPr>
        <w:rFonts w:ascii="Helvetica Neue" w:eastAsia="Helvetica Neue" w:hAnsi="Helvetica Neue" w:cs="Helvetica Neue"/>
        <w:b/>
        <w:smallCaps/>
        <w:color w:val="000000"/>
        <w:sz w:val="14"/>
        <w:szCs w:val="14"/>
      </w:rPr>
    </w:pPr>
    <w:r>
      <w:rPr>
        <w:rFonts w:ascii="Helvetica Neue" w:eastAsia="Helvetica Neue" w:hAnsi="Helvetica Neue" w:cs="Helvetica Neue"/>
        <w:b/>
        <w:smallCaps/>
        <w:color w:val="000000"/>
        <w:sz w:val="14"/>
        <w:szCs w:val="14"/>
      </w:rPr>
      <w:t>Maryland Higher Education Commission</w:t>
    </w:r>
  </w:p>
  <w:p w:rsidR="009613F9" w:rsidRDefault="008D64F3">
    <w:pPr>
      <w:pBdr>
        <w:top w:val="nil"/>
        <w:left w:val="nil"/>
        <w:bottom w:val="nil"/>
        <w:right w:val="nil"/>
        <w:between w:val="nil"/>
      </w:pBdr>
      <w:tabs>
        <w:tab w:val="center" w:pos="4320"/>
        <w:tab w:val="right" w:pos="8640"/>
      </w:tabs>
      <w:jc w:val="center"/>
      <w:rPr>
        <w:rFonts w:ascii="Helvetica Neue" w:eastAsia="Helvetica Neue" w:hAnsi="Helvetica Neue" w:cs="Helvetica Neue"/>
        <w:color w:val="000000"/>
        <w:sz w:val="14"/>
        <w:szCs w:val="14"/>
      </w:rPr>
    </w:pPr>
    <w:r>
      <w:rPr>
        <w:rFonts w:ascii="Helvetica Neue" w:eastAsia="Helvetica Neue" w:hAnsi="Helvetica Neue" w:cs="Helvetica Neue"/>
        <w:color w:val="000000"/>
        <w:sz w:val="14"/>
        <w:szCs w:val="14"/>
      </w:rPr>
      <w:t xml:space="preserve">6 N. Liberty Street </w:t>
    </w:r>
    <w:r>
      <w:rPr>
        <w:rFonts w:ascii="Symbol" w:eastAsia="Symbol" w:hAnsi="Symbol" w:cs="Symbol"/>
        <w:color w:val="000000"/>
        <w:sz w:val="14"/>
        <w:szCs w:val="14"/>
      </w:rPr>
      <w:t>∙</w:t>
    </w:r>
    <w:r>
      <w:rPr>
        <w:rFonts w:ascii="Helvetica Neue" w:eastAsia="Helvetica Neue" w:hAnsi="Helvetica Neue" w:cs="Helvetica Neue"/>
        <w:color w:val="000000"/>
        <w:sz w:val="14"/>
        <w:szCs w:val="14"/>
      </w:rPr>
      <w:t xml:space="preserve"> 10</w:t>
    </w:r>
    <w:r>
      <w:rPr>
        <w:rFonts w:ascii="Helvetica Neue" w:eastAsia="Helvetica Neue" w:hAnsi="Helvetica Neue" w:cs="Helvetica Neue"/>
        <w:color w:val="000000"/>
        <w:sz w:val="14"/>
        <w:szCs w:val="14"/>
        <w:vertAlign w:val="superscript"/>
      </w:rPr>
      <w:t>th</w:t>
    </w:r>
    <w:r>
      <w:rPr>
        <w:rFonts w:ascii="Helvetica Neue" w:eastAsia="Helvetica Neue" w:hAnsi="Helvetica Neue" w:cs="Helvetica Neue"/>
        <w:color w:val="000000"/>
        <w:sz w:val="14"/>
        <w:szCs w:val="14"/>
      </w:rPr>
      <w:t xml:space="preserve"> Floor </w:t>
    </w:r>
    <w:r>
      <w:rPr>
        <w:rFonts w:ascii="Symbol" w:eastAsia="Symbol" w:hAnsi="Symbol" w:cs="Symbol"/>
        <w:color w:val="000000"/>
        <w:sz w:val="14"/>
        <w:szCs w:val="14"/>
      </w:rPr>
      <w:t>∙</w:t>
    </w:r>
    <w:r>
      <w:rPr>
        <w:rFonts w:ascii="Helvetica Neue" w:eastAsia="Helvetica Neue" w:hAnsi="Helvetica Neue" w:cs="Helvetica Neue"/>
        <w:color w:val="000000"/>
        <w:sz w:val="14"/>
        <w:szCs w:val="14"/>
      </w:rPr>
      <w:t xml:space="preserve"> Baltimore, MD 21201</w:t>
    </w:r>
  </w:p>
  <w:p w:rsidR="009613F9" w:rsidRDefault="008D64F3">
    <w:pPr>
      <w:pBdr>
        <w:top w:val="nil"/>
        <w:left w:val="nil"/>
        <w:bottom w:val="nil"/>
        <w:right w:val="nil"/>
        <w:between w:val="nil"/>
      </w:pBdr>
      <w:tabs>
        <w:tab w:val="center" w:pos="4320"/>
        <w:tab w:val="right" w:pos="8640"/>
      </w:tabs>
      <w:jc w:val="center"/>
      <w:rPr>
        <w:color w:val="000000"/>
      </w:rPr>
    </w:pPr>
    <w:r>
      <w:rPr>
        <w:rFonts w:ascii="Helvetica Neue" w:eastAsia="Helvetica Neue" w:hAnsi="Helvetica Neue" w:cs="Helvetica Neue"/>
        <w:color w:val="000000"/>
        <w:sz w:val="14"/>
        <w:szCs w:val="14"/>
      </w:rPr>
      <w:t xml:space="preserve">T 410.767.3300 </w:t>
    </w:r>
    <w:r>
      <w:rPr>
        <w:rFonts w:ascii="Symbol" w:eastAsia="Symbol" w:hAnsi="Symbol" w:cs="Symbol"/>
        <w:color w:val="000000"/>
        <w:sz w:val="14"/>
        <w:szCs w:val="14"/>
      </w:rPr>
      <w:t>∙</w:t>
    </w:r>
    <w:r>
      <w:rPr>
        <w:rFonts w:ascii="Helvetica Neue" w:eastAsia="Helvetica Neue" w:hAnsi="Helvetica Neue" w:cs="Helvetica Neue"/>
        <w:color w:val="000000"/>
        <w:sz w:val="14"/>
        <w:szCs w:val="14"/>
      </w:rPr>
      <w:t xml:space="preserve"> 800.974.0203 </w:t>
    </w:r>
    <w:r>
      <w:rPr>
        <w:rFonts w:ascii="Symbol" w:eastAsia="Symbol" w:hAnsi="Symbol" w:cs="Symbol"/>
        <w:color w:val="000000"/>
        <w:sz w:val="14"/>
        <w:szCs w:val="14"/>
      </w:rPr>
      <w:t>∙</w:t>
    </w:r>
    <w:r>
      <w:rPr>
        <w:rFonts w:ascii="Helvetica Neue" w:eastAsia="Helvetica Neue" w:hAnsi="Helvetica Neue" w:cs="Helvetica Neue"/>
        <w:color w:val="000000"/>
        <w:sz w:val="14"/>
        <w:szCs w:val="14"/>
      </w:rPr>
      <w:t xml:space="preserve"> F 410.332.0270 </w:t>
    </w:r>
    <w:r>
      <w:rPr>
        <w:rFonts w:ascii="Symbol" w:eastAsia="Symbol" w:hAnsi="Symbol" w:cs="Symbol"/>
        <w:color w:val="000000"/>
        <w:sz w:val="14"/>
        <w:szCs w:val="14"/>
      </w:rPr>
      <w:t>∙</w:t>
    </w:r>
    <w:r>
      <w:rPr>
        <w:rFonts w:ascii="Helvetica Neue" w:eastAsia="Helvetica Neue" w:hAnsi="Helvetica Neue" w:cs="Helvetica Neue"/>
        <w:color w:val="000000"/>
        <w:sz w:val="14"/>
        <w:szCs w:val="14"/>
      </w:rPr>
      <w:t xml:space="preserve"> TTY for the Deaf 800.735.2258 </w:t>
    </w:r>
    <w:hyperlink r:id="rId1">
      <w:r>
        <w:rPr>
          <w:rFonts w:ascii="Helvetica Neue" w:eastAsia="Helvetica Neue" w:hAnsi="Helvetica Neue" w:cs="Helvetica Neue"/>
          <w:color w:val="0000FF"/>
          <w:sz w:val="14"/>
          <w:szCs w:val="14"/>
          <w:u w:val="single"/>
        </w:rPr>
        <w:t>www.mhec.maryland.gov</w:t>
      </w:r>
    </w:hyperlink>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6618" w:rsidRDefault="00966618">
      <w:r>
        <w:separator/>
      </w:r>
    </w:p>
  </w:footnote>
  <w:footnote w:type="continuationSeparator" w:id="0">
    <w:p w:rsidR="00966618" w:rsidRDefault="0096661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13F9" w:rsidRDefault="009613F9">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13F9" w:rsidRDefault="009613F9">
    <w:pPr>
      <w:pBdr>
        <w:top w:val="nil"/>
        <w:left w:val="nil"/>
        <w:bottom w:val="nil"/>
        <w:right w:val="nil"/>
        <w:between w:val="nil"/>
      </w:pBdr>
      <w:tabs>
        <w:tab w:val="center" w:pos="4320"/>
        <w:tab w:val="right" w:pos="8640"/>
      </w:tabs>
      <w:rPr>
        <w:color w:val="000000"/>
        <w:sz w:val="22"/>
        <w:szCs w:val="22"/>
      </w:rPr>
    </w:pPr>
  </w:p>
  <w:p w:rsidR="009613F9" w:rsidRDefault="009613F9">
    <w:pPr>
      <w:pBdr>
        <w:top w:val="nil"/>
        <w:left w:val="nil"/>
        <w:bottom w:val="nil"/>
        <w:right w:val="nil"/>
        <w:between w:val="nil"/>
      </w:pBdr>
      <w:tabs>
        <w:tab w:val="center" w:pos="4320"/>
        <w:tab w:val="right" w:pos="8640"/>
      </w:tabs>
      <w:rPr>
        <w:color w:val="000000"/>
        <w:sz w:val="22"/>
        <w:szCs w:val="22"/>
      </w:rPr>
    </w:pPr>
  </w:p>
  <w:p w:rsidR="009613F9" w:rsidRDefault="009613F9">
    <w:pPr>
      <w:pBdr>
        <w:top w:val="nil"/>
        <w:left w:val="nil"/>
        <w:bottom w:val="nil"/>
        <w:right w:val="nil"/>
        <w:between w:val="nil"/>
      </w:pBdr>
      <w:tabs>
        <w:tab w:val="center" w:pos="4320"/>
        <w:tab w:val="right" w:pos="8640"/>
      </w:tabs>
      <w:rPr>
        <w:color w:val="000000"/>
        <w:sz w:val="22"/>
        <w:szCs w:val="22"/>
      </w:rPr>
    </w:pPr>
  </w:p>
  <w:p w:rsidR="009613F9" w:rsidRDefault="009613F9">
    <w:pPr>
      <w:pBdr>
        <w:top w:val="nil"/>
        <w:left w:val="nil"/>
        <w:bottom w:val="nil"/>
        <w:right w:val="nil"/>
        <w:between w:val="nil"/>
      </w:pBdr>
      <w:tabs>
        <w:tab w:val="center" w:pos="4320"/>
        <w:tab w:val="right" w:pos="8640"/>
      </w:tabs>
      <w:rPr>
        <w:color w:val="000000"/>
        <w:sz w:val="22"/>
        <w:szCs w:val="22"/>
      </w:rPr>
    </w:pPr>
  </w:p>
  <w:p w:rsidR="009613F9" w:rsidRDefault="009613F9">
    <w:pPr>
      <w:pBdr>
        <w:top w:val="nil"/>
        <w:left w:val="nil"/>
        <w:bottom w:val="nil"/>
        <w:right w:val="nil"/>
        <w:between w:val="nil"/>
      </w:pBdr>
      <w:tabs>
        <w:tab w:val="center" w:pos="4320"/>
        <w:tab w:val="right" w:pos="8640"/>
      </w:tabs>
      <w:rPr>
        <w:color w:val="000000"/>
        <w:sz w:val="22"/>
        <w:szCs w:val="22"/>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13F9" w:rsidRDefault="009613F9">
    <w:pPr>
      <w:pBdr>
        <w:top w:val="nil"/>
        <w:left w:val="nil"/>
        <w:bottom w:val="nil"/>
        <w:right w:val="nil"/>
        <w:between w:val="nil"/>
      </w:pBdr>
      <w:tabs>
        <w:tab w:val="center" w:pos="4320"/>
        <w:tab w:val="right" w:pos="8640"/>
      </w:tabs>
      <w:ind w:left="-748"/>
      <w:rPr>
        <w:color w:val="000000"/>
      </w:rPr>
    </w:pPr>
  </w:p>
  <w:p w:rsidR="009613F9" w:rsidRDefault="009613F9">
    <w:pPr>
      <w:pBdr>
        <w:top w:val="nil"/>
        <w:left w:val="nil"/>
        <w:bottom w:val="nil"/>
        <w:right w:val="nil"/>
        <w:between w:val="nil"/>
      </w:pBdr>
      <w:tabs>
        <w:tab w:val="center" w:pos="4320"/>
        <w:tab w:val="right" w:pos="8640"/>
      </w:tabs>
      <w:ind w:left="-748"/>
      <w:rPr>
        <w:color w:val="000000"/>
      </w:rPr>
    </w:pPr>
  </w:p>
  <w:p w:rsidR="009613F9" w:rsidRDefault="008D64F3">
    <w:pPr>
      <w:pBdr>
        <w:top w:val="nil"/>
        <w:left w:val="nil"/>
        <w:bottom w:val="nil"/>
        <w:right w:val="nil"/>
        <w:between w:val="nil"/>
      </w:pBdr>
      <w:tabs>
        <w:tab w:val="center" w:pos="4320"/>
        <w:tab w:val="right" w:pos="8640"/>
      </w:tabs>
      <w:ind w:left="-748"/>
      <w:rPr>
        <w:color w:val="000000"/>
      </w:rPr>
    </w:pPr>
    <w:r>
      <w:rPr>
        <w:noProof/>
      </w:rPr>
      <mc:AlternateContent>
        <mc:Choice Requires="wpg">
          <w:drawing>
            <wp:anchor distT="0" distB="0" distL="0" distR="0" simplePos="0" relativeHeight="251658240" behindDoc="0" locked="0" layoutInCell="1" hidden="0" allowOverlap="1">
              <wp:simplePos x="0" y="0"/>
              <wp:positionH relativeFrom="column">
                <wp:posOffset>4622800</wp:posOffset>
              </wp:positionH>
              <wp:positionV relativeFrom="paragraph">
                <wp:posOffset>152400</wp:posOffset>
              </wp:positionV>
              <wp:extent cx="1761490" cy="1297940"/>
              <wp:effectExtent l="0" t="0" r="0" b="0"/>
              <wp:wrapSquare wrapText="bothSides" distT="0" distB="0" distL="0" distR="0"/>
              <wp:docPr id="1" name="Rectangle 1"/>
              <wp:cNvGraphicFramePr/>
              <a:graphic xmlns:a="http://schemas.openxmlformats.org/drawingml/2006/main">
                <a:graphicData uri="http://schemas.microsoft.com/office/word/2010/wordprocessingShape">
                  <wps:wsp>
                    <wps:cNvSpPr/>
                    <wps:spPr>
                      <a:xfrm>
                        <a:off x="4470018" y="3135793"/>
                        <a:ext cx="1751965" cy="1288415"/>
                      </a:xfrm>
                      <a:prstGeom prst="rect">
                        <a:avLst/>
                      </a:prstGeom>
                      <a:solidFill>
                        <a:srgbClr val="FFFFFF"/>
                      </a:solidFill>
                      <a:ln>
                        <a:noFill/>
                      </a:ln>
                    </wps:spPr>
                    <wps:txbx>
                      <w:txbxContent>
                        <w:p w:rsidR="009613F9" w:rsidRDefault="008D64F3">
                          <w:pPr>
                            <w:ind w:right="50"/>
                            <w:jc w:val="right"/>
                            <w:textDirection w:val="btLr"/>
                          </w:pPr>
                          <w:r>
                            <w:rPr>
                              <w:rFonts w:ascii="Helvetica Neue" w:eastAsia="Helvetica Neue" w:hAnsi="Helvetica Neue" w:cs="Helvetica Neue"/>
                              <w:b/>
                              <w:color w:val="000000"/>
                              <w:sz w:val="14"/>
                            </w:rPr>
                            <w:t>Larry Hogan</w:t>
                          </w:r>
                        </w:p>
                        <w:p w:rsidR="009613F9" w:rsidRDefault="008D64F3">
                          <w:pPr>
                            <w:ind w:right="50"/>
                            <w:jc w:val="right"/>
                            <w:textDirection w:val="btLr"/>
                          </w:pPr>
                          <w:r>
                            <w:rPr>
                              <w:rFonts w:ascii="Helvetica Neue" w:eastAsia="Helvetica Neue" w:hAnsi="Helvetica Neue" w:cs="Helvetica Neue"/>
                              <w:color w:val="000000"/>
                              <w:sz w:val="14"/>
                            </w:rPr>
                            <w:t>Governor</w:t>
                          </w:r>
                        </w:p>
                        <w:p w:rsidR="009613F9" w:rsidRDefault="009613F9">
                          <w:pPr>
                            <w:ind w:right="50"/>
                            <w:jc w:val="right"/>
                            <w:textDirection w:val="btLr"/>
                          </w:pPr>
                        </w:p>
                        <w:p w:rsidR="009613F9" w:rsidRDefault="008D64F3">
                          <w:pPr>
                            <w:ind w:right="50"/>
                            <w:jc w:val="right"/>
                            <w:textDirection w:val="btLr"/>
                          </w:pPr>
                          <w:r>
                            <w:rPr>
                              <w:rFonts w:ascii="Helvetica Neue" w:eastAsia="Helvetica Neue" w:hAnsi="Helvetica Neue" w:cs="Helvetica Neue"/>
                              <w:b/>
                              <w:color w:val="000000"/>
                              <w:sz w:val="14"/>
                            </w:rPr>
                            <w:t>Boyd K. Rutherford</w:t>
                          </w:r>
                        </w:p>
                        <w:p w:rsidR="009613F9" w:rsidRDefault="008D64F3">
                          <w:pPr>
                            <w:ind w:right="50"/>
                            <w:jc w:val="right"/>
                            <w:textDirection w:val="btLr"/>
                          </w:pPr>
                          <w:r>
                            <w:rPr>
                              <w:rFonts w:ascii="Helvetica Neue" w:eastAsia="Helvetica Neue" w:hAnsi="Helvetica Neue" w:cs="Helvetica Neue"/>
                              <w:color w:val="000000"/>
                              <w:sz w:val="14"/>
                            </w:rPr>
                            <w:t>Lt. Governor</w:t>
                          </w:r>
                        </w:p>
                        <w:p w:rsidR="009613F9" w:rsidRDefault="009613F9">
                          <w:pPr>
                            <w:ind w:right="50"/>
                            <w:jc w:val="right"/>
                            <w:textDirection w:val="btLr"/>
                          </w:pPr>
                        </w:p>
                        <w:p w:rsidR="009613F9" w:rsidRDefault="008D64F3">
                          <w:pPr>
                            <w:ind w:right="50"/>
                            <w:jc w:val="right"/>
                            <w:textDirection w:val="btLr"/>
                          </w:pPr>
                          <w:r>
                            <w:rPr>
                              <w:rFonts w:ascii="Helvetica Neue" w:eastAsia="Helvetica Neue" w:hAnsi="Helvetica Neue" w:cs="Helvetica Neue"/>
                              <w:b/>
                              <w:color w:val="000000"/>
                              <w:sz w:val="14"/>
                            </w:rPr>
                            <w:t>Ian D. MacFarlane</w:t>
                          </w:r>
                        </w:p>
                        <w:p w:rsidR="009613F9" w:rsidRDefault="008D64F3">
                          <w:pPr>
                            <w:ind w:right="50"/>
                            <w:jc w:val="right"/>
                            <w:textDirection w:val="btLr"/>
                          </w:pPr>
                          <w:r>
                            <w:rPr>
                              <w:rFonts w:ascii="Helvetica Neue" w:eastAsia="Helvetica Neue" w:hAnsi="Helvetica Neue" w:cs="Helvetica Neue"/>
                              <w:color w:val="000000"/>
                              <w:sz w:val="14"/>
                            </w:rPr>
                            <w:tab/>
                            <w:t>Chair</w:t>
                          </w:r>
                        </w:p>
                        <w:p w:rsidR="009613F9" w:rsidRDefault="009613F9">
                          <w:pPr>
                            <w:ind w:right="50"/>
                            <w:jc w:val="right"/>
                            <w:textDirection w:val="btLr"/>
                          </w:pPr>
                        </w:p>
                        <w:p w:rsidR="009613F9" w:rsidRDefault="008D64F3">
                          <w:pPr>
                            <w:ind w:right="50"/>
                            <w:jc w:val="right"/>
                            <w:textDirection w:val="btLr"/>
                          </w:pPr>
                          <w:r>
                            <w:rPr>
                              <w:rFonts w:ascii="Helvetica Neue" w:eastAsia="Helvetica Neue" w:hAnsi="Helvetica Neue" w:cs="Helvetica Neue"/>
                              <w:b/>
                              <w:color w:val="000000"/>
                              <w:sz w:val="14"/>
                            </w:rPr>
                            <w:t>James D. Fielder, Jr., Ph. D.</w:t>
                          </w:r>
                        </w:p>
                        <w:p w:rsidR="009613F9" w:rsidRDefault="008D64F3">
                          <w:pPr>
                            <w:ind w:right="50"/>
                            <w:jc w:val="right"/>
                            <w:textDirection w:val="btLr"/>
                          </w:pPr>
                          <w:r>
                            <w:rPr>
                              <w:rFonts w:ascii="Helvetica Neue" w:eastAsia="Helvetica Neue" w:hAnsi="Helvetica Neue" w:cs="Helvetica Neue"/>
                              <w:color w:val="000000"/>
                              <w:sz w:val="14"/>
                            </w:rPr>
                            <w:tab/>
                            <w:t>Secretary</w:t>
                          </w:r>
                        </w:p>
                        <w:p w:rsidR="009613F9" w:rsidRDefault="009613F9">
                          <w:pPr>
                            <w:ind w:right="50"/>
                            <w:jc w:val="right"/>
                            <w:textDirection w:val="btLr"/>
                          </w:pPr>
                        </w:p>
                        <w:p w:rsidR="009613F9" w:rsidRDefault="009613F9">
                          <w:pPr>
                            <w:ind w:right="50"/>
                            <w:jc w:val="right"/>
                            <w:textDirection w:val="btLr"/>
                          </w:pPr>
                        </w:p>
                        <w:p w:rsidR="009613F9" w:rsidRDefault="009613F9">
                          <w:pPr>
                            <w:ind w:right="50"/>
                            <w:jc w:val="right"/>
                            <w:textDirection w:val="btLr"/>
                          </w:pPr>
                        </w:p>
                      </w:txbxContent>
                    </wps:txbx>
                    <wps:bodyPr spcFirstLastPara="1" wrap="square" lIns="91425" tIns="45700" rIns="91425" bIns="45700" anchor="t" anchorCtr="0">
                      <a:noAutofit/>
                    </wps:bodyPr>
                  </wps:wsp>
                </a:graphicData>
              </a:graphic>
            </wp:anchor>
          </w:drawing>
        </mc:Choice>
        <mc:Fallback xmlns:cx1="http://schemas.microsoft.com/office/drawing/2015/9/8/chartex"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0" distR="0" hidden="0" layoutInCell="1" locked="0" relativeHeight="0" simplePos="0">
              <wp:simplePos x="0" y="0"/>
              <wp:positionH relativeFrom="column">
                <wp:posOffset>4622800</wp:posOffset>
              </wp:positionH>
              <wp:positionV relativeFrom="paragraph">
                <wp:posOffset>152400</wp:posOffset>
              </wp:positionV>
              <wp:extent cx="1761490" cy="1297940"/>
              <wp:effectExtent b="0" l="0" r="0" t="0"/>
              <wp:wrapSquare wrapText="bothSides" distB="0" distT="0" distL="0" distR="0"/>
              <wp:docPr id="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1761490" cy="1297940"/>
                      </a:xfrm>
                      <a:prstGeom prst="rect"/>
                      <a:ln/>
                    </pic:spPr>
                  </pic:pic>
                </a:graphicData>
              </a:graphic>
            </wp:anchor>
          </w:drawing>
        </mc:Fallback>
      </mc:AlternateContent>
    </w:r>
  </w:p>
  <w:p w:rsidR="009613F9" w:rsidRDefault="008D64F3">
    <w:pPr>
      <w:pBdr>
        <w:top w:val="nil"/>
        <w:left w:val="nil"/>
        <w:bottom w:val="nil"/>
        <w:right w:val="nil"/>
        <w:between w:val="nil"/>
      </w:pBdr>
      <w:tabs>
        <w:tab w:val="center" w:pos="4320"/>
        <w:tab w:val="right" w:pos="8640"/>
      </w:tabs>
      <w:ind w:left="-748"/>
      <w:rPr>
        <w:color w:val="000000"/>
      </w:rPr>
    </w:pPr>
    <w:r>
      <w:rPr>
        <w:noProof/>
        <w:color w:val="000000"/>
      </w:rPr>
      <w:drawing>
        <wp:inline distT="0" distB="0" distL="0" distR="0">
          <wp:extent cx="1390650" cy="1181100"/>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l="38414" t="42529" r="38312" b="20656"/>
                  <a:stretch>
                    <a:fillRect/>
                  </a:stretch>
                </pic:blipFill>
                <pic:spPr>
                  <a:xfrm>
                    <a:off x="0" y="0"/>
                    <a:ext cx="1390650" cy="1181100"/>
                  </a:xfrm>
                  <a:prstGeom prst="rect">
                    <a:avLst/>
                  </a:prstGeom>
                  <a:ln/>
                </pic:spPr>
              </pic:pic>
            </a:graphicData>
          </a:graphic>
        </wp:inline>
      </w:drawing>
    </w:r>
  </w:p>
  <w:p w:rsidR="009613F9" w:rsidRDefault="009613F9">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4B0D33"/>
    <w:multiLevelType w:val="multilevel"/>
    <w:tmpl w:val="0FD228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665C1EB4"/>
    <w:multiLevelType w:val="multilevel"/>
    <w:tmpl w:val="2DC2E5BA"/>
    <w:lvl w:ilvl="0">
      <w:start w:val="1"/>
      <w:numFmt w:val="bullet"/>
      <w:lvlText w:val="⮚"/>
      <w:lvlJc w:val="left"/>
      <w:pPr>
        <w:ind w:left="1507" w:hanging="360"/>
      </w:pPr>
      <w:rPr>
        <w:rFonts w:ascii="Noto Sans Symbols" w:eastAsia="Noto Sans Symbols" w:hAnsi="Noto Sans Symbols" w:cs="Noto Sans Symbols"/>
      </w:rPr>
    </w:lvl>
    <w:lvl w:ilvl="1">
      <w:start w:val="1"/>
      <w:numFmt w:val="bullet"/>
      <w:lvlText w:val="o"/>
      <w:lvlJc w:val="left"/>
      <w:pPr>
        <w:ind w:left="2227" w:hanging="360"/>
      </w:pPr>
      <w:rPr>
        <w:rFonts w:ascii="Courier New" w:eastAsia="Courier New" w:hAnsi="Courier New" w:cs="Courier New"/>
      </w:rPr>
    </w:lvl>
    <w:lvl w:ilvl="2">
      <w:start w:val="1"/>
      <w:numFmt w:val="bullet"/>
      <w:lvlText w:val="▪"/>
      <w:lvlJc w:val="left"/>
      <w:pPr>
        <w:ind w:left="2947" w:hanging="360"/>
      </w:pPr>
      <w:rPr>
        <w:rFonts w:ascii="Noto Sans Symbols" w:eastAsia="Noto Sans Symbols" w:hAnsi="Noto Sans Symbols" w:cs="Noto Sans Symbols"/>
      </w:rPr>
    </w:lvl>
    <w:lvl w:ilvl="3">
      <w:start w:val="1"/>
      <w:numFmt w:val="bullet"/>
      <w:lvlText w:val="●"/>
      <w:lvlJc w:val="left"/>
      <w:pPr>
        <w:ind w:left="3667" w:hanging="360"/>
      </w:pPr>
      <w:rPr>
        <w:rFonts w:ascii="Noto Sans Symbols" w:eastAsia="Noto Sans Symbols" w:hAnsi="Noto Sans Symbols" w:cs="Noto Sans Symbols"/>
      </w:rPr>
    </w:lvl>
    <w:lvl w:ilvl="4">
      <w:start w:val="1"/>
      <w:numFmt w:val="bullet"/>
      <w:lvlText w:val="o"/>
      <w:lvlJc w:val="left"/>
      <w:pPr>
        <w:ind w:left="4387" w:hanging="360"/>
      </w:pPr>
      <w:rPr>
        <w:rFonts w:ascii="Courier New" w:eastAsia="Courier New" w:hAnsi="Courier New" w:cs="Courier New"/>
      </w:rPr>
    </w:lvl>
    <w:lvl w:ilvl="5">
      <w:start w:val="1"/>
      <w:numFmt w:val="bullet"/>
      <w:lvlText w:val="▪"/>
      <w:lvlJc w:val="left"/>
      <w:pPr>
        <w:ind w:left="5107" w:hanging="360"/>
      </w:pPr>
      <w:rPr>
        <w:rFonts w:ascii="Noto Sans Symbols" w:eastAsia="Noto Sans Symbols" w:hAnsi="Noto Sans Symbols" w:cs="Noto Sans Symbols"/>
      </w:rPr>
    </w:lvl>
    <w:lvl w:ilvl="6">
      <w:start w:val="1"/>
      <w:numFmt w:val="bullet"/>
      <w:lvlText w:val="●"/>
      <w:lvlJc w:val="left"/>
      <w:pPr>
        <w:ind w:left="5827" w:hanging="360"/>
      </w:pPr>
      <w:rPr>
        <w:rFonts w:ascii="Noto Sans Symbols" w:eastAsia="Noto Sans Symbols" w:hAnsi="Noto Sans Symbols" w:cs="Noto Sans Symbols"/>
      </w:rPr>
    </w:lvl>
    <w:lvl w:ilvl="7">
      <w:start w:val="1"/>
      <w:numFmt w:val="bullet"/>
      <w:lvlText w:val="o"/>
      <w:lvlJc w:val="left"/>
      <w:pPr>
        <w:ind w:left="6547" w:hanging="360"/>
      </w:pPr>
      <w:rPr>
        <w:rFonts w:ascii="Courier New" w:eastAsia="Courier New" w:hAnsi="Courier New" w:cs="Courier New"/>
      </w:rPr>
    </w:lvl>
    <w:lvl w:ilvl="8">
      <w:start w:val="1"/>
      <w:numFmt w:val="bullet"/>
      <w:lvlText w:val="▪"/>
      <w:lvlJc w:val="left"/>
      <w:pPr>
        <w:ind w:left="7267"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3F9"/>
    <w:rsid w:val="000B2F6E"/>
    <w:rsid w:val="000C7F05"/>
    <w:rsid w:val="00127B5E"/>
    <w:rsid w:val="0029118D"/>
    <w:rsid w:val="00385322"/>
    <w:rsid w:val="003B6C89"/>
    <w:rsid w:val="003D3E27"/>
    <w:rsid w:val="007507B0"/>
    <w:rsid w:val="008D64F3"/>
    <w:rsid w:val="0090710A"/>
    <w:rsid w:val="009613F9"/>
    <w:rsid w:val="00966618"/>
    <w:rsid w:val="00C51D46"/>
    <w:rsid w:val="00D81494"/>
    <w:rsid w:val="00DF3B63"/>
    <w:rsid w:val="00E65567"/>
    <w:rsid w:val="00E81567"/>
    <w:rsid w:val="00FE59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DF5B0"/>
  <w15:docId w15:val="{DB3EC25F-FE39-4589-99D4-4D8EDA938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tabs>
        <w:tab w:val="right" w:pos="10800"/>
      </w:tabs>
      <w:jc w:val="right"/>
      <w:outlineLvl w:val="0"/>
    </w:pPr>
    <w:rPr>
      <w:b/>
    </w:rPr>
  </w:style>
  <w:style w:type="paragraph" w:styleId="Heading2">
    <w:name w:val="heading 2"/>
    <w:basedOn w:val="Normal"/>
    <w:next w:val="Normal"/>
    <w:pPr>
      <w:keepNext/>
      <w:tabs>
        <w:tab w:val="right" w:pos="10800"/>
      </w:tabs>
      <w:jc w:val="center"/>
      <w:outlineLvl w:val="1"/>
    </w:pPr>
    <w:rPr>
      <w:b/>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127B5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35984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nursesupport.org/"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mhec.maryland.gov"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mhec.maryland.gov"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436</Words>
  <Characters>2489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State of Maryland</Company>
  <LinksUpToDate>false</LinksUpToDate>
  <CharactersWithSpaces>2920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Wardlaw, Rhonda</dc:creator>
  <cp:lastModifiedBy>Windows User</cp:lastModifiedBy>
  <cp:revision>3</cp:revision>
  <dcterms:created xsi:type="dcterms:W3CDTF">2020-08-03T15:03:00Z</dcterms:created>
  <dcterms:modified xsi:type="dcterms:W3CDTF">2020-08-03T15:31:00Z</dcterms:modified>
</cp:coreProperties>
</file>